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b/>
          <w:sz w:val="28"/>
        </w:rPr>
        <w:t>IN THE COURT OF APPEAL OF THE STATE OF CALIFORNIA</w:t>
        <w:br/>
      </w:r>
      <w:r>
        <w:rPr>
          <w:rFonts w:ascii="Times New Roman" w:hAnsi="Times New Roman" w:eastAsia="Times New Roman"/>
          <w:b/>
          <w:sz w:val="28"/>
        </w:rPr>
        <w:t>FIRST APPELLATE DISTRICT</w:t>
        <w:br/>
        <w:t>DIVISION THREE</w:t>
        <w:br/>
      </w:r>
    </w:p>
    <w:p/>
    <w:p>
      <w:r>
        <w:rPr>
          <w:rFonts w:ascii="Times New Roman" w:hAnsi="Times New Roman" w:eastAsia="Times New Roman"/>
          <w:b w:val="0"/>
          <w:sz w:val="24"/>
        </w:rPr>
        <w:t>DELLA HAMLIN, et al.,</w:t>
        <w:br/>
        <w:t>Plaintiffs and Respondents,</w:t>
        <w:br/>
        <w:br/>
        <w:t>v.</w:t>
        <w:br/>
        <w:br/>
        <w:t>ZAKIYA JENDAYI,</w:t>
        <w:br/>
        <w:t>Defendant and Appellant.</w:t>
        <w:br/>
        <w:br/>
        <w:t>Court of Appeal Case No.: __________</w:t>
        <w:br/>
        <w:t>Alameda County Superior Court Case No. RP20061734</w:t>
        <w:br/>
      </w:r>
    </w:p>
    <w:p>
      <w:pPr>
        <w:jc w:val="center"/>
      </w:pPr>
      <w:r>
        <w:rPr>
          <w:rFonts w:ascii="Times New Roman" w:hAnsi="Times New Roman" w:eastAsia="Times New Roman"/>
          <w:b/>
          <w:sz w:val="28"/>
        </w:rPr>
        <w:t>PUBLIC INTEREST AMICUS CURIAE BRIEF</w:t>
        <w:br/>
        <w:t>IN SUPPORT OF CONSTITUTIONAL DUE PROCESS AND BENEFICIARY RIGHTS</w:t>
      </w:r>
    </w:p>
    <w:p>
      <w:r>
        <w:rPr>
          <w:rFonts w:ascii="Times New Roman" w:hAnsi="Times New Roman" w:eastAsia="Times New Roman"/>
          <w:b w:val="0"/>
          <w:sz w:val="24"/>
        </w:rPr>
        <w:br/>
        <w:t>This Amicus Curiae Brief is submitted in support of appellate review concerning substantial constitutional and public-interest issues arising from the probate proceedings involving the Laura Dean Head Living Trust.</w:t>
        <w:br/>
        <w:br/>
        <w:t>This matter raises important questions regarding constitutional due process, notice to identifiable beneficiaries, operative pleading requirements, and the extent to which probate proceedings may advance without all interested parties receiving meaningful notice and an opportunity to be heard.</w:t>
        <w:br/>
        <w:br/>
        <w:t>The public has a strong interest in ensuring that California probate proceedings maintain constitutional fairness, especially where charitable beneficiaries, inheritance rights, and testamentary intent are implicated.</w:t>
        <w:br/>
        <w:br/>
        <w:t>The issues presented in this appeal extend beyond the parties themselves and may affect future probate litigation throughout California involving:</w:t>
        <w:br/>
        <w:br/>
        <w:t>• trust contests;</w:t>
        <w:br/>
        <w:t>• beneficiary notice;</w:t>
        <w:br/>
        <w:t>• standing disputes;</w:t>
        <w:br/>
        <w:t>• constitutional due process;</w:t>
        <w:br/>
        <w:t>• operative pleading requirements;</w:t>
        <w:br/>
        <w:t>• void judgments under CCP section 473(d); and</w:t>
        <w:br/>
        <w:t>• preservation of testamentary intent.</w:t>
        <w:br/>
        <w:br/>
        <w:t>Supporters of Appellant maintain that constitutional protections should not yield merely because substantial time has passed or appellate proceedings have occurred. Constitutional notice and jurisdictional integrity remain essential components of public confidence in the judicial system.</w:t>
        <w:br/>
        <w:br/>
        <w:t>This case presents important statewide concerns regarding whether identifiable beneficiaries allegedly omitted from notice may nevertheless have their inheritance rights materially affected through proceedings advancing without their participation.</w:t>
        <w:br/>
        <w:br/>
        <w:t>California courts possess a profound responsibility to ensure that probate litigation remains consistent with constitutional due process guarantees, including meaningful notice and the opportunity to be heard before valuable property interests are impaired.</w:t>
        <w:br/>
        <w:br/>
        <w:t>Respectfully submitted,</w:t>
        <w:br/>
        <w:br/>
        <w:t>__________________________________</w:t>
        <w:br/>
        <w:t>[NAME OF PUBLIC ADVOCACY GROUP OR SUPPORTER]</w:t>
        <w:br/>
        <w:br/>
        <w:t>Dated: ___________________________</w:t>
        <w:br/>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