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b/>
          <w:sz w:val="28"/>
        </w:rPr>
        <w:t>IN THE COURT OF APPEAL OF THE STATE OF CALIFORNIA</w:t>
        <w:br/>
      </w:r>
      <w:r>
        <w:rPr>
          <w:rFonts w:ascii="Times New Roman" w:hAnsi="Times New Roman" w:eastAsia="Times New Roman"/>
          <w:b/>
          <w:sz w:val="28"/>
        </w:rPr>
        <w:t>FIRST APPELLATE DISTRICT</w:t>
        <w:br/>
        <w:t>DIVISION THREE</w:t>
        <w:br/>
      </w:r>
    </w:p>
    <w:p/>
    <w:p>
      <w:pPr>
        <w:jc w:val="left"/>
      </w:pPr>
      <w:r>
        <w:rPr>
          <w:rFonts w:ascii="Times New Roman" w:hAnsi="Times New Roman" w:eastAsia="Times New Roman"/>
          <w:b w:val="0"/>
          <w:sz w:val="24"/>
        </w:rPr>
        <w:t>DELLA HAMLIN, et al.,</w:t>
        <w:br/>
        <w:t>Plaintiffs and Respondents,</w:t>
        <w:br/>
        <w:br/>
        <w:t>v.</w:t>
        <w:br/>
        <w:br/>
        <w:t>ZAKIYA JENDAYI,</w:t>
        <w:br/>
        <w:t>Defendant and Appellant.</w:t>
        <w:br/>
        <w:br/>
        <w:t>Court of Appeal Case No.: __________</w:t>
        <w:br/>
        <w:t>Alameda County Superior Court Case No. RP20061734</w:t>
        <w:br/>
      </w:r>
    </w:p>
    <w:p>
      <w:pPr>
        <w:jc w:val="center"/>
      </w:pPr>
      <w:r>
        <w:rPr>
          <w:rFonts w:ascii="Times New Roman" w:hAnsi="Times New Roman" w:eastAsia="Times New Roman"/>
          <w:b/>
          <w:sz w:val="28"/>
        </w:rPr>
        <w:t>PROPOSED AMICUS CURIAE BRIEF</w:t>
        <w:br/>
        <w:t>IN SUPPORT OF APPELLANT ZAKIYA JENDAYI</w:t>
      </w:r>
    </w:p>
    <w:p>
      <w:r>
        <w:rPr>
          <w:rFonts w:ascii="Times New Roman" w:hAnsi="Times New Roman" w:eastAsia="Times New Roman"/>
          <w:b/>
          <w:sz w:val="26"/>
        </w:rPr>
        <w:t>INTEREST OF AMICUS CURIAE</w:t>
      </w:r>
    </w:p>
    <w:p>
      <w:r>
        <w:rPr>
          <w:rFonts w:ascii="Times New Roman" w:hAnsi="Times New Roman" w:eastAsia="Times New Roman"/>
          <w:b w:val="0"/>
          <w:sz w:val="24"/>
        </w:rPr>
        <w:t>Amicus Curiae submits this brief because the issues presented in this appeal extend beyond a private probate dispute and raise substantial constitutional and public-policy concerns regarding due process, beneficiary notice, operative pleadings, and judicial authority under Code of Civil Procedure section 473(d).</w:t>
        <w:br/>
        <w:br/>
        <w:t>This case implicates statewide concerns affecting trust beneficiaries, charitable organizations, inheritance rights, and the integrity of California probate proceedings.</w:t>
      </w:r>
    </w:p>
    <w:p>
      <w:r>
        <w:rPr>
          <w:rFonts w:ascii="Times New Roman" w:hAnsi="Times New Roman" w:eastAsia="Times New Roman"/>
          <w:b/>
          <w:sz w:val="26"/>
        </w:rPr>
        <w:t>INTRODUCTION</w:t>
      </w:r>
    </w:p>
    <w:p>
      <w:r>
        <w:rPr>
          <w:rFonts w:ascii="Times New Roman" w:hAnsi="Times New Roman" w:eastAsia="Times New Roman"/>
          <w:b w:val="0"/>
          <w:sz w:val="24"/>
        </w:rPr>
        <w:t>This appeal concerns whether constitutional due process protections were adequately preserved in proceedings affecting valuable inheritance rights and testamentary interests.</w:t>
        <w:br/>
        <w:br/>
        <w:t>Appellant Zakiya Jendayi contends the proceedings advanced despite unresolved defects involving notice to identifiable beneficiaries, shifting legal theories, and alleged adjudication beyond the scope of the operative pleadings. The Trial Court nevertheless denied relief under Code of Civil Procedure section 473(d) based largely upon principles of finality and appellate exhaustion.</w:t>
        <w:br/>
        <w:br/>
        <w:t>Amicus respectfully submits that constitutional notice protections cannot be eclipsed by procedural finality where substantial voidness concerns are raised.</w:t>
      </w:r>
    </w:p>
    <w:p>
      <w:r>
        <w:rPr>
          <w:rFonts w:ascii="Times New Roman" w:hAnsi="Times New Roman" w:eastAsia="Times New Roman"/>
          <w:b/>
          <w:sz w:val="26"/>
        </w:rPr>
        <w:t>ARGUMENT</w:t>
      </w:r>
    </w:p>
    <w:p>
      <w:r>
        <w:rPr>
          <w:rFonts w:ascii="Times New Roman" w:hAnsi="Times New Roman" w:eastAsia="Times New Roman"/>
          <w:b w:val="0"/>
          <w:sz w:val="24"/>
        </w:rPr>
        <w:t>I. DUE PROCESS REQUIRES CONSTITUTIONALLY ADEQUATE NOTICE</w:t>
        <w:br/>
        <w:br/>
        <w:t>The United States Supreme Court has long recognized that due process requires notice reasonably calculated to apprise interested parties of proceedings affecting their rights. Probate proceedings affecting testamentary interests require strict adherence to constitutional notice requirements.</w:t>
        <w:br/>
        <w:br/>
        <w:t>Appellant alleges identifiable beneficiaries, including charitable beneficiaries, were not provided constitutionally sufficient notice before proceedings affecting their interests advanced.</w:t>
        <w:br/>
        <w:br/>
        <w:t>II. FINALITY CANNOT OVERRIDE A VOID JUDGMENT</w:t>
        <w:br/>
        <w:br/>
        <w:t>California law distinguishes between judgments that are merely erroneous and judgments alleged to be constitutionally void. Code of Civil Procedure section 473(d) preserves the authority of courts to vacate void judgments.</w:t>
        <w:br/>
        <w:br/>
        <w:t>Amicus respectfully submits that constitutional defects involving notice and jurisdiction are not automatically cured through passage of time or appellate exhaustion.</w:t>
        <w:br/>
        <w:br/>
        <w:t>III. OPERATIVE PLEADINGS DEFINE THE SCOPE OF JUDICIAL AUTHORITY</w:t>
        <w:br/>
        <w:br/>
        <w:t>California law requires that pleadings define the claims to be adjudicated. Appellant contends the proceedings advanced upon evolving theories allegedly not fixed within a stable amended pleading.</w:t>
        <w:br/>
        <w:br/>
        <w:t>Proceedings extending beyond the theories framed by operative pleadings raise substantial due process concerns affecting fairness, notice, and the opportunity to defend.</w:t>
        <w:br/>
        <w:br/>
        <w:t>IV. TESTAMENTARY INTENT DESERVES CONSTITUTIONAL PROTECTION</w:t>
        <w:br/>
        <w:br/>
        <w:t>California probate law strongly favors honoring the expressed intent of the decedent. Trust instruments and beneficiary designations should not be displaced absent proceedings fully compliant with constitutional due process requirements.</w:t>
      </w:r>
    </w:p>
    <w:p>
      <w:r>
        <w:rPr>
          <w:rFonts w:ascii="Times New Roman" w:hAnsi="Times New Roman" w:eastAsia="Times New Roman"/>
          <w:b/>
          <w:sz w:val="26"/>
        </w:rPr>
        <w:t>CONCLUSION</w:t>
      </w:r>
    </w:p>
    <w:p>
      <w:r>
        <w:rPr>
          <w:rFonts w:ascii="Times New Roman" w:hAnsi="Times New Roman" w:eastAsia="Times New Roman"/>
          <w:b w:val="0"/>
          <w:sz w:val="24"/>
        </w:rPr>
        <w:t>Amicus Curiae respectfully urges this Court to carefully examine whether constitutional notice requirements were satisfied, whether all interested beneficiaries received meaningful due process, and whether the proceedings complied with the jurisdictional limitations imposed by California law.</w:t>
        <w:br/>
        <w:br/>
        <w:t>The integrity of California probate proceedings depends not merely upon procedural finality, but upon constitutional fairness and meaningful notice to all interested parties.</w:t>
        <w:br/>
        <w:br/>
        <w:t>Respectfully submitted,</w:t>
        <w:br/>
        <w:br/>
        <w:t>__________________________________</w:t>
        <w:br/>
        <w:t>[NAME OF AMICUS ORGANIZATION]</w:t>
        <w:br/>
        <w:br/>
        <w:t>Dated: ___________________________</w:t>
        <w:b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